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20" w:lineRule="atLeast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pacing w:line="520" w:lineRule="atLeas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九江学院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退役大学生士兵专升本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录取缺额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专业、计划</w:t>
      </w:r>
      <w:bookmarkEnd w:id="0"/>
    </w:p>
    <w:tbl>
      <w:tblPr>
        <w:tblStyle w:val="2"/>
        <w:tblW w:w="46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469"/>
        <w:gridCol w:w="2555"/>
        <w:gridCol w:w="1138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所属二级学院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计划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材料化学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化学化工学院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应用化学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化学化工学院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化学工程与工艺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化学化工学院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26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物理学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理学院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应用物理学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理学院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数学与应用数学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理学院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生物工程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szCs w:val="21"/>
                <w:lang w:val="en-US" w:eastAsia="zh-CN"/>
              </w:rPr>
              <w:t>药学与生命科学学院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生物科学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szCs w:val="21"/>
                <w:lang w:val="en-US" w:eastAsia="zh-CN"/>
              </w:rPr>
              <w:t>药学与生命科学学院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566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药学</w:t>
            </w:r>
          </w:p>
        </w:tc>
        <w:tc>
          <w:tcPr>
            <w:tcW w:w="1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szCs w:val="21"/>
                <w:lang w:val="en-US" w:eastAsia="zh-CN"/>
              </w:rPr>
              <w:t>药学与生命科学学院</w:t>
            </w:r>
          </w:p>
        </w:tc>
        <w:tc>
          <w:tcPr>
            <w:tcW w:w="722" w:type="pct"/>
            <w:vAlign w:val="center"/>
          </w:tcPr>
          <w:p>
            <w:pPr>
              <w:ind w:left="0" w:leftChars="0" w:firstLine="0" w:firstLineChars="0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20" w:type="pct"/>
            <w:vAlign w:val="center"/>
          </w:tcPr>
          <w:p>
            <w:pPr>
              <w:ind w:left="0" w:leftChars="0" w:firstLine="0" w:firstLineChars="0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四年制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4248"/>
    <w:rsid w:val="2D2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2022-03-17T13:27:00Z</dcterms:created>
  <dc:creator>自由鹰翔</dc:creator>
  <cp:lastModifiedBy>自由鹰翔</cp:lastModifiedBy>
  <dcterms:modified xsi:type="dcterms:W3CDTF">2022-03-17T13:28:31Z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F779369077544EF489452534893BD1D3</vt:lpwstr>
  </property>
</Properties>
</file>